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34" w:rsidRPr="00416010" w:rsidRDefault="00057E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положения учетной политики (выдержки)</w:t>
      </w:r>
    </w:p>
    <w:p w:rsidR="00AA6F34" w:rsidRPr="00416010" w:rsidRDefault="00611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Федерального </w:t>
      </w:r>
      <w:r w:rsidR="00057EBB"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бюджетного учреждения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Челябинская лаборатория судебной экспертизы Министерства юстиции Российской Федерации</w:t>
      </w:r>
    </w:p>
    <w:p w:rsidR="00AA6F34" w:rsidRPr="00416010" w:rsidRDefault="00057E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пункта 9 Стандарта «Учетная политика, оценочные значения и ошибки», утвержденного приказом Минфина от 30.12.2017 № 274н, на официальном сайте учреждения размещается информация об учетной политике.</w:t>
      </w:r>
    </w:p>
    <w:p w:rsidR="00611646" w:rsidRPr="00611646" w:rsidRDefault="00057EBB" w:rsidP="00611646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11646" w:rsidRPr="00611646">
        <w:rPr>
          <w:lang w:val="ru-RU"/>
        </w:rPr>
        <w:t xml:space="preserve"> Бухгалтерский учет ведется бухгалтерий, возглавляемой главным бухгалтером, которая входит в состав административно-управленческого персонала Лаборатории.  Деятельность бухгалтерии регламентируется должностными инструкциями сотрудников бухгалтерии.        </w:t>
      </w:r>
    </w:p>
    <w:p w:rsidR="00611646" w:rsidRPr="00611646" w:rsidRDefault="00611646" w:rsidP="0061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611646">
        <w:rPr>
          <w:lang w:val="ru-RU"/>
        </w:rPr>
        <w:t>Ответственным за организацию и ведение бухгалтерского учета в Лаборатории, является главный бухгалтер.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Бухгалтерский учет ведется в электронном виде с применением программных продуктов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Парус 10 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«Бухгалтерия», «Зарплата».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AA6F34" w:rsidRPr="00416010" w:rsidRDefault="00057E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AA6F34" w:rsidRDefault="00057E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6F34" w:rsidRDefault="00057E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6F34" w:rsidRPr="00416010" w:rsidRDefault="00057E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AA6F34" w:rsidRPr="00416010" w:rsidRDefault="00057E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116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1646" w:rsidRPr="006116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fldChar w:fldCharType="begin"/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 xml:space="preserve"> 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HYPERLINK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 xml:space="preserve"> 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>"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https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>://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zakupki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>.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gov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>.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ru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>/" \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t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 xml:space="preserve"> "_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instrText>blank</w:instrText>
      </w:r>
      <w:r w:rsidR="00EA19AD" w:rsidRP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instrText xml:space="preserve">" </w:instrText>
      </w:r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fldChar w:fldCharType="separate"/>
      </w:r>
      <w:proofErr w:type="spellStart"/>
      <w:r w:rsidR="00611646" w:rsidRPr="00611646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t>zakupki</w:t>
      </w:r>
      <w:proofErr w:type="spellEnd"/>
      <w:r w:rsidR="00611646" w:rsidRPr="00611646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t>.</w:t>
      </w:r>
      <w:proofErr w:type="spellStart"/>
      <w:r w:rsidR="00611646" w:rsidRPr="00611646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t>gov</w:t>
      </w:r>
      <w:proofErr w:type="spellEnd"/>
      <w:r w:rsidR="00611646" w:rsidRPr="00611646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  <w:lang w:val="ru-RU"/>
        </w:rPr>
        <w:t>.</w:t>
      </w:r>
      <w:proofErr w:type="spellStart"/>
      <w:r w:rsidR="00611646" w:rsidRPr="00611646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t>ru</w:t>
      </w:r>
      <w:proofErr w:type="spellEnd"/>
      <w:r w:rsidR="00EA19AD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shd w:val="clear" w:color="auto" w:fill="FFFFFF"/>
        </w:rPr>
        <w:fldChar w:fldCharType="end"/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При оформлении фактов хозяйственной жизни применяются унифицированные формы первичных учетных документов</w:t>
      </w:r>
      <w:r w:rsidR="00057EBB">
        <w:rPr>
          <w:rFonts w:hAnsi="Times New Roman" w:cs="Times New Roman"/>
          <w:color w:val="000000"/>
          <w:sz w:val="24"/>
          <w:szCs w:val="24"/>
        </w:rPr>
        <w:t> 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</w:t>
      </w:r>
      <w:r w:rsidR="00057EBB">
        <w:rPr>
          <w:rFonts w:hAnsi="Times New Roman" w:cs="Times New Roman"/>
          <w:color w:val="000000"/>
          <w:sz w:val="24"/>
          <w:szCs w:val="24"/>
        </w:rPr>
        <w:t> 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№ 52н. При оформлении фактов хозяйственной жизни, по которым не предусмотрены типовые формы, применяются формы, установленные в приложении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04, 12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Инвентаризация активов и обязательств проводится в соответствии с Порядком проведения инвентаризации, утвержденным в приложении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политике, и ежегодными приказами учреждения о проведении инвентаризации объектов бухучета.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</w:p>
    <w:p w:rsidR="00AA6F34" w:rsidRPr="00416010" w:rsidRDefault="00611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611646" w:rsidRPr="00611646" w:rsidRDefault="00611646" w:rsidP="00402716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Учреждение учитывает в составе основных средств материальные объекты имущества</w:t>
      </w:r>
      <w:r w:rsidR="00057EBB">
        <w:rPr>
          <w:rFonts w:hAnsi="Times New Roman" w:cs="Times New Roman"/>
          <w:color w:val="000000"/>
          <w:sz w:val="24"/>
          <w:szCs w:val="24"/>
        </w:rPr>
        <w:t> </w:t>
      </w:r>
      <w:r w:rsidRPr="00611646">
        <w:rPr>
          <w:lang w:val="ru-RU"/>
        </w:rPr>
        <w:t xml:space="preserve">4.2.1. Учет основных средств ведется в соответствии с п. 38-55 Инструкции № 157н. </w:t>
      </w:r>
    </w:p>
    <w:p w:rsidR="00611646" w:rsidRPr="00611646" w:rsidRDefault="00611646" w:rsidP="0061164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11646">
        <w:rPr>
          <w:lang w:val="ru-RU"/>
        </w:rPr>
        <w:t>В составе основных средств учитываются материальные объекты, используемые в процессе деятельности учреждения при выполнении работ или оказании услуг либо для управленческих нужд учреждения, независимо от стоимости объектов основных средств со сроком полезного использования более 12 месяцев и выполняющие определенные самостоятельные функции.</w:t>
      </w:r>
    </w:p>
    <w:p w:rsidR="00611646" w:rsidRPr="00611646" w:rsidRDefault="00611646" w:rsidP="00611646">
      <w:pPr>
        <w:suppressAutoHyphens/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611646">
        <w:rPr>
          <w:lang w:val="ru-RU"/>
        </w:rPr>
        <w:t xml:space="preserve">К основным средствам также относятся </w:t>
      </w:r>
      <w:proofErr w:type="spellStart"/>
      <w:r w:rsidRPr="00611646">
        <w:rPr>
          <w:lang w:val="ru-RU"/>
        </w:rPr>
        <w:t>флеш</w:t>
      </w:r>
      <w:proofErr w:type="spellEnd"/>
      <w:r w:rsidRPr="00611646">
        <w:rPr>
          <w:lang w:val="ru-RU"/>
        </w:rPr>
        <w:t xml:space="preserve">-носители, сумки для ноутбука, жалюзи </w:t>
      </w:r>
      <w:r w:rsidRPr="00611646">
        <w:rPr>
          <w:iCs/>
          <w:lang w:val="ru-RU"/>
        </w:rPr>
        <w:t>и прочие материальные объекты</w:t>
      </w:r>
      <w:r w:rsidRPr="00611646">
        <w:rPr>
          <w:lang w:val="ru-RU"/>
        </w:rPr>
        <w:t xml:space="preserve"> со сроком полезного использования более 12 месяцев и выполняющие определенные самостоятельные функции</w:t>
      </w:r>
      <w:r w:rsidRPr="00611646">
        <w:rPr>
          <w:iCs/>
          <w:lang w:val="ru-RU"/>
        </w:rPr>
        <w:t>.</w:t>
      </w:r>
      <w:r w:rsidRPr="00611646">
        <w:rPr>
          <w:lang w:val="ru-RU"/>
        </w:rPr>
        <w:t xml:space="preserve"> </w:t>
      </w:r>
    </w:p>
    <w:p w:rsidR="00402716" w:rsidRPr="00402716" w:rsidRDefault="00057EBB" w:rsidP="004027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271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2716" w:rsidRPr="00402716">
        <w:rPr>
          <w:lang w:val="ru-RU"/>
        </w:rPr>
        <w:t>Начисление амортизации объектов основных средств осуществляется линейным методом в соответствии со сроками полезного использования.</w:t>
      </w:r>
    </w:p>
    <w:p w:rsidR="00402716" w:rsidRPr="00402716" w:rsidRDefault="00402716" w:rsidP="0040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lang w:val="ru-RU"/>
        </w:rPr>
      </w:pPr>
      <w:r w:rsidRPr="00402716">
        <w:rPr>
          <w:i/>
          <w:lang w:val="ru-RU"/>
        </w:rPr>
        <w:t>Основание: пункт 85 Инструкции к Единому плану счетов № 157н, пункты 36, 37 Стандарта «Основные средства».</w:t>
      </w:r>
    </w:p>
    <w:p w:rsidR="00AA6F34" w:rsidRPr="00416010" w:rsidRDefault="00057E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27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Основные средства стоимостью до 10 000 руб. включительно, находящиеся в эксплуатации, учитываются на </w:t>
      </w:r>
      <w:proofErr w:type="spellStart"/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 по балансовой стоимости.</w:t>
      </w:r>
    </w:p>
    <w:p w:rsidR="00AA6F34" w:rsidRPr="00237DA8" w:rsidRDefault="00057E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D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2716" w:rsidRPr="00237DA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37DA8">
        <w:rPr>
          <w:rFonts w:hAnsi="Times New Roman" w:cs="Times New Roman"/>
          <w:color w:val="000000"/>
          <w:sz w:val="24"/>
          <w:szCs w:val="24"/>
          <w:lang w:val="ru-RU"/>
        </w:rPr>
        <w:t xml:space="preserve">. Начисление амортизации нематериальных активов осуществляется </w:t>
      </w:r>
      <w:r w:rsidR="00237DA8" w:rsidRPr="00237DA8">
        <w:rPr>
          <w:lang w:val="ru-RU"/>
        </w:rPr>
        <w:t>в соответствии с п.61 Инструкции № 157н</w:t>
      </w:r>
    </w:p>
    <w:p w:rsidR="00237DA8" w:rsidRPr="00237DA8" w:rsidRDefault="00237DA8" w:rsidP="00237DA8">
      <w:pPr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7DA8">
        <w:rPr>
          <w:lang w:val="ru-RU"/>
        </w:rPr>
        <w:t>К материальным запасам относятся материальные ценности, используемые в деятельности менее 12 месяцев и, перечисленные в п.98-99 Инструкции № 157н.</w:t>
      </w:r>
    </w:p>
    <w:p w:rsidR="00237DA8" w:rsidRPr="00237DA8" w:rsidRDefault="00237DA8" w:rsidP="00237DA8">
      <w:pPr>
        <w:suppressAutoHyphens/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37DA8">
        <w:rPr>
          <w:lang w:val="ru-RU"/>
        </w:rPr>
        <w:t xml:space="preserve">К материальным запасам также относятся предметы </w:t>
      </w:r>
      <w:r w:rsidRPr="00237DA8">
        <w:rPr>
          <w:iCs/>
          <w:lang w:val="ru-RU"/>
        </w:rPr>
        <w:t xml:space="preserve">конторского применения: дыроколы, </w:t>
      </w:r>
      <w:proofErr w:type="spellStart"/>
      <w:r w:rsidRPr="00237DA8">
        <w:rPr>
          <w:iCs/>
          <w:lang w:val="ru-RU"/>
        </w:rPr>
        <w:t>степлеры</w:t>
      </w:r>
      <w:proofErr w:type="spellEnd"/>
      <w:r w:rsidRPr="00237DA8">
        <w:rPr>
          <w:iCs/>
          <w:lang w:val="ru-RU"/>
        </w:rPr>
        <w:t xml:space="preserve">, </w:t>
      </w:r>
      <w:proofErr w:type="spellStart"/>
      <w:r w:rsidRPr="00237DA8">
        <w:rPr>
          <w:iCs/>
          <w:lang w:val="ru-RU"/>
        </w:rPr>
        <w:t>антистеплеры</w:t>
      </w:r>
      <w:proofErr w:type="spellEnd"/>
      <w:r w:rsidRPr="00237DA8">
        <w:rPr>
          <w:iCs/>
          <w:lang w:val="ru-RU"/>
        </w:rPr>
        <w:t>, канцелярские ножницы и ножи, линейки, папки-регистраторы и прочие предметы.</w:t>
      </w:r>
      <w:r w:rsidRPr="00237DA8">
        <w:rPr>
          <w:lang w:val="ru-RU"/>
        </w:rPr>
        <w:t xml:space="preserve"> </w:t>
      </w:r>
    </w:p>
    <w:p w:rsidR="00237DA8" w:rsidRP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1</w:t>
      </w:r>
      <w:r w:rsidRPr="00237DA8">
        <w:rPr>
          <w:lang w:val="ru-RU"/>
        </w:rPr>
        <w:t xml:space="preserve">4.. Списание материальных запасов производится по средней фактической стоимости. </w:t>
      </w:r>
    </w:p>
    <w:p w:rsidR="00237DA8" w:rsidRP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ru-RU"/>
        </w:rPr>
      </w:pPr>
      <w:r w:rsidRPr="00237DA8">
        <w:rPr>
          <w:i/>
          <w:lang w:val="ru-RU"/>
        </w:rPr>
        <w:t>Основание: пункт 108 Инструкции к Единому плану счетов № 157н.</w:t>
      </w:r>
    </w:p>
    <w:p w:rsidR="00237DA8" w:rsidRPr="00237DA8" w:rsidRDefault="00237DA8" w:rsidP="00237DA8">
      <w:pPr>
        <w:autoSpaceDE w:val="0"/>
        <w:autoSpaceDN w:val="0"/>
        <w:adjustRightInd w:val="0"/>
        <w:ind w:firstLine="539"/>
        <w:jc w:val="both"/>
        <w:rPr>
          <w:i/>
          <w:lang w:val="ru-RU"/>
        </w:rPr>
      </w:pPr>
    </w:p>
    <w:p w:rsidR="00237DA8" w:rsidRP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37DA8">
        <w:rPr>
          <w:lang w:val="ru-RU"/>
        </w:rPr>
        <w:t>Нормы на расходы ГСМ</w:t>
      </w:r>
      <w:r w:rsidRPr="00237DA8">
        <w:rPr>
          <w:color w:val="000000"/>
          <w:lang w:val="ru-RU"/>
        </w:rPr>
        <w:t xml:space="preserve"> рассчитываются согласно Методическим рекомендациям, разработанных Минтрансом РФ от 14.03.2008г. № АМ-23-р. </w:t>
      </w:r>
      <w:r w:rsidRPr="00237DA8">
        <w:rPr>
          <w:lang w:val="ru-RU"/>
        </w:rPr>
        <w:t>и утверждаются приказом начальника Лаборатории, в котором указывается</w:t>
      </w:r>
      <w:r w:rsidRPr="00237DA8">
        <w:rPr>
          <w:color w:val="000000"/>
          <w:lang w:val="ru-RU"/>
        </w:rPr>
        <w:t xml:space="preserve"> период применения зимней надбавки к нормам расхода ГСМ и ее величина </w:t>
      </w:r>
      <w:r w:rsidRPr="00237DA8">
        <w:rPr>
          <w:i/>
          <w:iCs/>
          <w:color w:val="000000"/>
          <w:lang w:val="ru-RU"/>
        </w:rPr>
        <w:t xml:space="preserve">(приложение </w:t>
      </w:r>
      <w:r w:rsidRPr="00237DA8">
        <w:rPr>
          <w:i/>
          <w:iCs/>
          <w:lang w:val="ru-RU"/>
        </w:rPr>
        <w:t>№</w:t>
      </w:r>
      <w:r w:rsidRPr="00237DA8">
        <w:rPr>
          <w:i/>
          <w:iCs/>
          <w:color w:val="000000"/>
          <w:lang w:val="ru-RU"/>
        </w:rPr>
        <w:t xml:space="preserve"> 10 </w:t>
      </w:r>
      <w:r w:rsidRPr="00237DA8">
        <w:rPr>
          <w:i/>
          <w:iCs/>
          <w:lang w:val="ru-RU"/>
        </w:rPr>
        <w:t>к учетной политике</w:t>
      </w:r>
      <w:r w:rsidRPr="00237DA8">
        <w:rPr>
          <w:b/>
          <w:bCs/>
          <w:i/>
          <w:iCs/>
          <w:color w:val="000000"/>
          <w:lang w:val="ru-RU"/>
        </w:rPr>
        <w:t>).</w:t>
      </w:r>
      <w:r>
        <w:rPr>
          <w:lang w:val="ru-RU"/>
        </w:rPr>
        <w:t xml:space="preserve"> </w:t>
      </w:r>
      <w:r w:rsidRPr="00237DA8">
        <w:rPr>
          <w:lang w:val="ru-RU"/>
        </w:rPr>
        <w:t>ГСМ списываются на расходы по фактическому расходу на основании отчета водителя (</w:t>
      </w:r>
      <w:r w:rsidRPr="00237DA8">
        <w:rPr>
          <w:i/>
          <w:lang w:val="ru-RU"/>
        </w:rPr>
        <w:t xml:space="preserve">приложение </w:t>
      </w:r>
      <w:r w:rsidRPr="00237DA8">
        <w:rPr>
          <w:i/>
          <w:iCs/>
          <w:lang w:val="ru-RU"/>
        </w:rPr>
        <w:t xml:space="preserve">№ </w:t>
      </w:r>
      <w:r w:rsidRPr="00237DA8">
        <w:rPr>
          <w:i/>
          <w:lang w:val="ru-RU"/>
        </w:rPr>
        <w:t>4</w:t>
      </w:r>
      <w:r>
        <w:rPr>
          <w:i/>
          <w:iCs/>
          <w:lang w:val="ru-RU"/>
        </w:rPr>
        <w:t xml:space="preserve"> к </w:t>
      </w:r>
      <w:r w:rsidRPr="00237DA8">
        <w:rPr>
          <w:i/>
          <w:iCs/>
          <w:lang w:val="ru-RU"/>
        </w:rPr>
        <w:t xml:space="preserve"> учетной политике</w:t>
      </w:r>
      <w:r w:rsidRPr="00237DA8">
        <w:rPr>
          <w:lang w:val="ru-RU"/>
        </w:rPr>
        <w:t>) и путевых листов к нему, но не выше норм, установленных приказом начальника Лаборатории.</w:t>
      </w:r>
    </w:p>
    <w:p w:rsid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37DA8">
        <w:rPr>
          <w:lang w:val="ru-RU"/>
        </w:rPr>
        <w:lastRenderedPageBreak/>
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237DA8" w:rsidRP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37DA8">
        <w:rPr>
          <w:lang w:val="ru-RU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237DA8" w:rsidRPr="00237DA8" w:rsidRDefault="00237DA8" w:rsidP="0023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237DA8">
        <w:rPr>
          <w:lang w:val="ru-RU"/>
        </w:rPr>
        <w:t>В остальных случаях материальные запасы списываются по акту о списании материальных запасов (ф. 0504230) на основании требования-накладной либо ведомости выдачи материальных запасов.</w:t>
      </w:r>
    </w:p>
    <w:p w:rsidR="00AA6F34" w:rsidRPr="00416010" w:rsidRDefault="00237D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57EBB">
        <w:rPr>
          <w:rFonts w:hAnsi="Times New Roman" w:cs="Times New Roman"/>
          <w:color w:val="000000"/>
          <w:sz w:val="24"/>
          <w:szCs w:val="24"/>
        </w:rPr>
        <w:t> 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Списание материальных запасов производится по средней фактической стоимости.</w:t>
      </w:r>
    </w:p>
    <w:p w:rsidR="00AA6F34" w:rsidRPr="00237DA8" w:rsidRDefault="00237D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Денежные средства выдаются под отчет на основании приказа руководителя и служебной записки, согласованной с руководителем. </w:t>
      </w:r>
      <w:r w:rsidR="00057EBB" w:rsidRPr="00237DA8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 производится путем:</w:t>
      </w:r>
    </w:p>
    <w:p w:rsidR="00AA6F34" w:rsidRPr="00416010" w:rsidRDefault="00057EB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AA6F34" w:rsidRPr="00416010" w:rsidRDefault="0006613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>. В учреждении создаются:</w:t>
      </w:r>
    </w:p>
    <w:p w:rsidR="00066133" w:rsidRPr="00E954CA" w:rsidRDefault="00066133" w:rsidP="000661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54CA">
        <w:rPr>
          <w:rFonts w:ascii="Times New Roman" w:hAnsi="Times New Roman" w:cs="Times New Roman"/>
          <w:sz w:val="24"/>
          <w:szCs w:val="24"/>
        </w:rPr>
        <w:t>В целях равномерного включения расходов на финансовый результат по обязательствам, не определенным по величине и (или) времени исполнения учреждение создает резерв предстоящих расходов. В соответствии с п. 302, 302.1 Инструкции № 157н учет таких обязательств ведется на 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4CA">
        <w:rPr>
          <w:rFonts w:ascii="Times New Roman" w:hAnsi="Times New Roman" w:cs="Times New Roman"/>
          <w:sz w:val="24"/>
          <w:szCs w:val="24"/>
        </w:rPr>
        <w:t>0 401 60 000 «Резервы предстоящих расходов».</w:t>
      </w:r>
    </w:p>
    <w:p w:rsidR="00066133" w:rsidRPr="00E954CA" w:rsidRDefault="00066133" w:rsidP="000661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66133" w:rsidRPr="00E954CA" w:rsidRDefault="00066133" w:rsidP="00066133">
      <w:pPr>
        <w:pStyle w:val="ConsPlusNormal"/>
        <w:jc w:val="both"/>
        <w:rPr>
          <w:b w:val="0"/>
          <w:sz w:val="24"/>
          <w:szCs w:val="24"/>
        </w:rPr>
      </w:pPr>
      <w:r w:rsidRPr="00E954CA">
        <w:rPr>
          <w:b w:val="0"/>
          <w:sz w:val="24"/>
          <w:szCs w:val="24"/>
        </w:rPr>
        <w:t>В учреждении формируется резерв для предстоящей оплаты отпусков, включая платежи на выплаты по оплате труда (отложенные обязательства по оплате отпусков за фактически отработанное время или компенсаций за неиспользованный отпуск, в т.ч. при увольнении, включая платежи на обязательное социальное страхование (далее − резерв предстоящих отпусков).</w:t>
      </w:r>
    </w:p>
    <w:p w:rsidR="00066133" w:rsidRPr="00066133" w:rsidRDefault="00066133" w:rsidP="00066133">
      <w:pPr>
        <w:suppressAutoHyphens/>
        <w:autoSpaceDE w:val="0"/>
        <w:autoSpaceDN w:val="0"/>
        <w:adjustRightInd w:val="0"/>
        <w:jc w:val="both"/>
        <w:rPr>
          <w:i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057EBB" w:rsidRPr="00416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6133">
        <w:rPr>
          <w:lang w:val="ru-RU"/>
        </w:rPr>
        <w:t>Бухгалтерская отчетность составляется и представляется в порядке, установленном приказом Минфина РФ, в сроки, установленные Министерством юстиции Российской Федерации.</w:t>
      </w:r>
      <w:r>
        <w:rPr>
          <w:lang w:val="ru-RU"/>
        </w:rPr>
        <w:t xml:space="preserve"> </w:t>
      </w:r>
      <w:r w:rsidRPr="00066133">
        <w:rPr>
          <w:i/>
          <w:lang w:val="ru-RU"/>
        </w:rPr>
        <w:t xml:space="preserve">Основание: пункт 6 Инструкции Минфина России от 25.03.2011 </w:t>
      </w:r>
      <w:r w:rsidRPr="00E954CA">
        <w:rPr>
          <w:i/>
        </w:rPr>
        <w:t>N</w:t>
      </w:r>
      <w:r w:rsidRPr="00066133">
        <w:rPr>
          <w:i/>
          <w:lang w:val="ru-RU"/>
        </w:rPr>
        <w:t>33н.</w:t>
      </w:r>
    </w:p>
    <w:p w:rsidR="00066133" w:rsidRPr="00066133" w:rsidRDefault="00066133" w:rsidP="00066133">
      <w:pPr>
        <w:suppressAutoHyphens/>
        <w:autoSpaceDE w:val="0"/>
        <w:autoSpaceDN w:val="0"/>
        <w:adjustRightInd w:val="0"/>
        <w:jc w:val="both"/>
        <w:rPr>
          <w:i/>
          <w:lang w:val="ru-RU"/>
        </w:rPr>
      </w:pPr>
      <w:r w:rsidRPr="00066133">
        <w:rPr>
          <w:lang w:val="ru-RU"/>
        </w:rPr>
        <w:t xml:space="preserve"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</w:t>
      </w:r>
      <w:proofErr w:type="spellStart"/>
      <w:r w:rsidRPr="00066133">
        <w:rPr>
          <w:lang w:val="ru-RU"/>
        </w:rPr>
        <w:t>оттоками.</w:t>
      </w:r>
      <w:r w:rsidRPr="00066133">
        <w:rPr>
          <w:i/>
          <w:lang w:val="ru-RU"/>
        </w:rPr>
        <w:t>Основание</w:t>
      </w:r>
      <w:proofErr w:type="spellEnd"/>
      <w:r w:rsidRPr="00066133">
        <w:rPr>
          <w:i/>
          <w:lang w:val="ru-RU"/>
        </w:rPr>
        <w:t>: пункт 19 СГС «Отчет о движении денежных средств».</w:t>
      </w:r>
    </w:p>
    <w:p w:rsidR="00066133" w:rsidRPr="00066133" w:rsidRDefault="00066133" w:rsidP="00066133">
      <w:pPr>
        <w:suppressAutoHyphens/>
        <w:autoSpaceDE w:val="0"/>
        <w:autoSpaceDN w:val="0"/>
        <w:adjustRightInd w:val="0"/>
        <w:jc w:val="both"/>
        <w:rPr>
          <w:i/>
          <w:lang w:val="ru-RU"/>
        </w:rPr>
      </w:pPr>
      <w:r w:rsidRPr="00066133">
        <w:rPr>
          <w:lang w:val="ru-RU"/>
        </w:rPr>
        <w:t>Бухгалтерская отчетность формируется и хранится в виде электронного документа в информационной системе «Электронный бюджет». Бумажная копия комплекта отчетности хранится у главного бухгалтера.</w:t>
      </w:r>
      <w:r>
        <w:rPr>
          <w:lang w:val="ru-RU"/>
        </w:rPr>
        <w:t xml:space="preserve"> </w:t>
      </w:r>
      <w:r w:rsidRPr="00066133">
        <w:rPr>
          <w:i/>
          <w:lang w:val="ru-RU"/>
        </w:rPr>
        <w:t>Основание: часть 7.1 статьи 13 Закона от 06.12.2011 № 402-ФЗ.</w:t>
      </w:r>
    </w:p>
    <w:p w:rsidR="00AA6F34" w:rsidRPr="00416010" w:rsidRDefault="00057E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Отдельными</w:t>
      </w:r>
      <w:r w:rsid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приложениями</w:t>
      </w:r>
      <w:r w:rsid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066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 w:rsidR="00066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политике</w:t>
      </w:r>
      <w:r w:rsidR="00066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0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оформлены: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167"/>
        <w:gridCol w:w="5245"/>
        <w:gridCol w:w="992"/>
        <w:gridCol w:w="972"/>
      </w:tblGrid>
      <w:tr w:rsidR="00066133" w:rsidRPr="00EA57BC" w:rsidTr="00104FA0">
        <w:tc>
          <w:tcPr>
            <w:tcW w:w="776" w:type="dxa"/>
            <w:shd w:val="clear" w:color="auto" w:fill="auto"/>
            <w:vAlign w:val="center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EA57BC">
              <w:rPr>
                <w:b/>
              </w:rPr>
              <w:t>№ п/п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EA57BC">
              <w:rPr>
                <w:b/>
              </w:rPr>
              <w:t>№ Приложения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EA57BC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страниц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EA57BC">
              <w:rPr>
                <w:b/>
              </w:rPr>
              <w:t>Кол-во листов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01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Рабочий план счетов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02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B4613">
              <w:rPr>
                <w:iCs/>
                <w:color w:val="000000"/>
                <w:sz w:val="24"/>
                <w:szCs w:val="24"/>
              </w:rPr>
              <w:t>Сопоставительная таблица КВР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03</w:t>
            </w:r>
          </w:p>
        </w:tc>
        <w:tc>
          <w:tcPr>
            <w:tcW w:w="5245" w:type="dxa"/>
            <w:shd w:val="clear" w:color="auto" w:fill="auto"/>
          </w:tcPr>
          <w:p w:rsidR="00066133" w:rsidRPr="00BF5CBA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BF5CBA">
              <w:rPr>
                <w:color w:val="000000"/>
                <w:sz w:val="24"/>
                <w:szCs w:val="24"/>
              </w:rPr>
              <w:t>График документооборота бухгалтерской службы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04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Отчет по расходованию ГСМ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05</w:t>
            </w:r>
          </w:p>
        </w:tc>
        <w:tc>
          <w:tcPr>
            <w:tcW w:w="5245" w:type="dxa"/>
            <w:shd w:val="clear" w:color="auto" w:fill="auto"/>
          </w:tcPr>
          <w:p w:rsidR="00066133" w:rsidRPr="00AB461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B4613">
              <w:rPr>
                <w:sz w:val="24"/>
                <w:szCs w:val="24"/>
              </w:rPr>
              <w:t>Перечень лиц, имеющих право подписи первичных документов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rPr>
          <w:trHeight w:val="256"/>
        </w:trPr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06</w:t>
            </w:r>
          </w:p>
        </w:tc>
        <w:tc>
          <w:tcPr>
            <w:tcW w:w="5245" w:type="dxa"/>
            <w:shd w:val="clear" w:color="auto" w:fill="auto"/>
          </w:tcPr>
          <w:p w:rsidR="00066133" w:rsidRPr="00BB1CDE" w:rsidRDefault="00066133" w:rsidP="00104FA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CDE">
              <w:rPr>
                <w:rFonts w:ascii="Times New Roman" w:hAnsi="Times New Roman" w:cs="Times New Roman"/>
                <w:sz w:val="24"/>
                <w:szCs w:val="24"/>
              </w:rPr>
              <w:t>Перечень журналов операций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07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AB4613">
              <w:rPr>
                <w:sz w:val="24"/>
                <w:szCs w:val="24"/>
              </w:rPr>
              <w:t>Положение о внутреннем контроле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08</w:t>
            </w:r>
          </w:p>
        </w:tc>
        <w:tc>
          <w:tcPr>
            <w:tcW w:w="5245" w:type="dxa"/>
            <w:shd w:val="clear" w:color="auto" w:fill="auto"/>
          </w:tcPr>
          <w:p w:rsidR="00066133" w:rsidRPr="00066133" w:rsidRDefault="00066133" w:rsidP="00104FA0">
            <w:pPr>
              <w:rPr>
                <w:color w:val="000000"/>
                <w:lang w:val="ru-RU"/>
              </w:rPr>
            </w:pPr>
            <w:r w:rsidRPr="00066133">
              <w:rPr>
                <w:iCs/>
                <w:color w:val="000000"/>
                <w:lang w:val="ru-RU"/>
              </w:rPr>
              <w:t xml:space="preserve">Положение о постоянно действующей комиссии по приему, выдаче и списанию нефинансовых </w:t>
            </w:r>
            <w:proofErr w:type="gramStart"/>
            <w:r w:rsidRPr="00066133">
              <w:rPr>
                <w:iCs/>
                <w:color w:val="000000"/>
                <w:lang w:val="ru-RU"/>
              </w:rPr>
              <w:t>активов  ФБУ</w:t>
            </w:r>
            <w:proofErr w:type="gramEnd"/>
            <w:r w:rsidRPr="00066133">
              <w:rPr>
                <w:iCs/>
                <w:color w:val="000000"/>
                <w:lang w:val="ru-RU"/>
              </w:rPr>
              <w:t xml:space="preserve"> Челябинская ЛСЭ Минюста России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09</w:t>
            </w:r>
          </w:p>
        </w:tc>
        <w:tc>
          <w:tcPr>
            <w:tcW w:w="5245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Перечень недвижимого и</w:t>
            </w:r>
            <w:r>
              <w:rPr>
                <w:iCs/>
                <w:color w:val="000000"/>
                <w:sz w:val="24"/>
                <w:szCs w:val="24"/>
              </w:rPr>
              <w:t xml:space="preserve"> дв</w:t>
            </w:r>
            <w:r w:rsidRPr="001958A3">
              <w:rPr>
                <w:iCs/>
                <w:color w:val="000000"/>
                <w:sz w:val="24"/>
                <w:szCs w:val="24"/>
              </w:rPr>
              <w:t>ижимого особо ценного имущества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958A3">
              <w:rPr>
                <w:iCs/>
                <w:color w:val="000000"/>
                <w:sz w:val="24"/>
                <w:szCs w:val="24"/>
              </w:rPr>
              <w:t xml:space="preserve">ФБУ </w:t>
            </w:r>
            <w:r>
              <w:rPr>
                <w:iCs/>
                <w:color w:val="000000"/>
                <w:sz w:val="24"/>
                <w:szCs w:val="24"/>
              </w:rPr>
              <w:t>Челябин</w:t>
            </w:r>
            <w:r w:rsidRPr="001958A3">
              <w:rPr>
                <w:iCs/>
                <w:color w:val="000000"/>
                <w:sz w:val="24"/>
                <w:szCs w:val="24"/>
              </w:rPr>
              <w:t>ская ЛСЭ Минюста России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10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о нормах расхода ГСМ</w:t>
            </w:r>
            <w:r w:rsidRPr="001958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11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Лимит остатка наличных денег в кассе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12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расчетного листа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>Приложение № 13</w:t>
            </w:r>
          </w:p>
        </w:tc>
        <w:tc>
          <w:tcPr>
            <w:tcW w:w="5245" w:type="dxa"/>
            <w:shd w:val="clear" w:color="auto" w:fill="auto"/>
          </w:tcPr>
          <w:p w:rsidR="00066133" w:rsidRPr="00EA16A2" w:rsidRDefault="00066133" w:rsidP="00104FA0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58A3">
              <w:rPr>
                <w:iCs/>
                <w:color w:val="000000"/>
                <w:sz w:val="24"/>
                <w:szCs w:val="24"/>
              </w:rPr>
              <w:t xml:space="preserve">Положение о командировках в ФБУ </w:t>
            </w:r>
            <w:r>
              <w:rPr>
                <w:iCs/>
                <w:color w:val="000000"/>
                <w:sz w:val="24"/>
                <w:szCs w:val="24"/>
              </w:rPr>
              <w:t>Челябин</w:t>
            </w:r>
            <w:r w:rsidRPr="001958A3">
              <w:rPr>
                <w:iCs/>
                <w:color w:val="000000"/>
                <w:sz w:val="24"/>
                <w:szCs w:val="24"/>
              </w:rPr>
              <w:t>ская ЛСЭ Минюста России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A16A2">
              <w:rPr>
                <w:sz w:val="24"/>
                <w:szCs w:val="24"/>
              </w:rPr>
              <w:t>Положением о признании дебиторской задолженности безнадежной к взысканию в ФБУ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Челябин</w:t>
            </w:r>
            <w:r w:rsidRPr="001958A3">
              <w:rPr>
                <w:iCs/>
                <w:color w:val="000000"/>
                <w:sz w:val="24"/>
                <w:szCs w:val="24"/>
              </w:rPr>
              <w:t>ская ЛСЭ Минюста России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66133" w:rsidRPr="00066133" w:rsidRDefault="00066133" w:rsidP="00104FA0">
            <w:pPr>
              <w:jc w:val="center"/>
              <w:rPr>
                <w:iCs/>
                <w:color w:val="000000"/>
                <w:lang w:val="ru-RU"/>
              </w:rPr>
            </w:pPr>
            <w:r w:rsidRPr="00066133">
              <w:rPr>
                <w:lang w:val="ru-RU"/>
              </w:rPr>
              <w:t>Порядок признания в бухгалтерском учете и раскрытия в бухгалтерской (финансовой) отчетности событий после отчетной даты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66133" w:rsidRPr="00EA16A2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D1516">
              <w:rPr>
                <w:color w:val="000000"/>
                <w:sz w:val="24"/>
                <w:szCs w:val="24"/>
              </w:rPr>
              <w:t>Регистр по</w:t>
            </w:r>
            <w:r>
              <w:rPr>
                <w:color w:val="000000"/>
                <w:sz w:val="24"/>
                <w:szCs w:val="24"/>
              </w:rPr>
              <w:t xml:space="preserve"> расчету налога на прибыль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66133" w:rsidRPr="00EA16A2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D1516">
              <w:rPr>
                <w:color w:val="000000"/>
                <w:sz w:val="24"/>
                <w:szCs w:val="24"/>
              </w:rPr>
              <w:t>Регистр по НДФЛ</w:t>
            </w:r>
            <w:r>
              <w:rPr>
                <w:color w:val="00000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992" w:type="dxa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1958A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66133" w:rsidRPr="00EA16A2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 и</w:t>
            </w:r>
            <w:r w:rsidRPr="004D1516">
              <w:rPr>
                <w:color w:val="000000"/>
                <w:sz w:val="24"/>
                <w:szCs w:val="24"/>
              </w:rPr>
              <w:t>ндивидуального учета сумм начисленных выплат и иных вознаграждений и сумм начисленных страховых взносов</w:t>
            </w:r>
            <w:r>
              <w:rPr>
                <w:color w:val="000000"/>
                <w:sz w:val="24"/>
                <w:szCs w:val="24"/>
              </w:rPr>
              <w:t xml:space="preserve"> физическим лицам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66133" w:rsidRPr="00EA57BC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133" w:rsidRPr="00EA57BC" w:rsidTr="00104FA0">
        <w:tc>
          <w:tcPr>
            <w:tcW w:w="776" w:type="dxa"/>
            <w:shd w:val="clear" w:color="auto" w:fill="auto"/>
          </w:tcPr>
          <w:p w:rsidR="00066133" w:rsidRPr="001958A3" w:rsidRDefault="00066133" w:rsidP="00066133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pacing w:after="0"/>
              <w:ind w:left="567" w:hanging="42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6133" w:rsidRPr="00665D4B" w:rsidRDefault="00066133" w:rsidP="00104FA0">
            <w:pPr>
              <w:pStyle w:val="a6"/>
              <w:spacing w:after="0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665D4B">
              <w:rPr>
                <w:iCs/>
                <w:color w:val="000000"/>
                <w:sz w:val="24"/>
                <w:szCs w:val="24"/>
              </w:rPr>
              <w:t>Приложение № 1</w:t>
            </w: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проведении инвентаризации</w:t>
            </w:r>
          </w:p>
        </w:tc>
        <w:tc>
          <w:tcPr>
            <w:tcW w:w="992" w:type="dxa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066133" w:rsidRDefault="00066133" w:rsidP="00104FA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A6F34" w:rsidRPr="00416010" w:rsidRDefault="00AA6F34" w:rsidP="000661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A6F34" w:rsidRPr="00416010" w:rsidSect="00DE0E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C1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3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0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C3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21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24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D6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B1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67223"/>
    <w:multiLevelType w:val="hybridMultilevel"/>
    <w:tmpl w:val="E9A6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C7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94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7EBB"/>
    <w:rsid w:val="00066133"/>
    <w:rsid w:val="00237DA8"/>
    <w:rsid w:val="002D33B1"/>
    <w:rsid w:val="002D3591"/>
    <w:rsid w:val="003514A0"/>
    <w:rsid w:val="00402716"/>
    <w:rsid w:val="00416010"/>
    <w:rsid w:val="004F7E17"/>
    <w:rsid w:val="005A05CE"/>
    <w:rsid w:val="005D6A05"/>
    <w:rsid w:val="00611646"/>
    <w:rsid w:val="00653AF6"/>
    <w:rsid w:val="00AA6F34"/>
    <w:rsid w:val="00B73A5A"/>
    <w:rsid w:val="00D8173F"/>
    <w:rsid w:val="00DE0E5E"/>
    <w:rsid w:val="00E438A1"/>
    <w:rsid w:val="00EA19A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B236-DEFA-4D20-AAAD-CE1DE66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116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7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6133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rsid w:val="00066133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066133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6613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dc:description>Подготовлено экспертами Актион-МЦФЭР</dc:description>
  <cp:lastModifiedBy>Бухгалтер</cp:lastModifiedBy>
  <cp:revision>3</cp:revision>
  <dcterms:created xsi:type="dcterms:W3CDTF">2022-05-31T02:49:00Z</dcterms:created>
  <dcterms:modified xsi:type="dcterms:W3CDTF">2022-05-31T04:33:00Z</dcterms:modified>
</cp:coreProperties>
</file>